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4C172C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4C172C">
        <w:rPr>
          <w:rFonts w:asciiTheme="minorHAnsi" w:hAnsiTheme="minorHAnsi" w:cs="Calibri"/>
          <w:b/>
          <w:bCs/>
          <w:sz w:val="20"/>
          <w:szCs w:val="20"/>
        </w:rPr>
        <w:t>1.Datedespre</w:t>
      </w:r>
      <w:proofErr w:type="gramEnd"/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12881" w:rsidRPr="004C172C" w:rsidTr="00147177">
        <w:trPr>
          <w:trHeight w:val="295"/>
        </w:trPr>
        <w:tc>
          <w:tcPr>
            <w:tcW w:w="280" w:type="dxa"/>
            <w:vAlign w:val="bottom"/>
          </w:tcPr>
          <w:p w:rsidR="00512881" w:rsidRPr="004C172C" w:rsidRDefault="00DB15B9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B15B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DB15B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12881" w:rsidRPr="004C172C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12881" w:rsidRPr="004C172C" w:rsidTr="00147177">
        <w:trPr>
          <w:trHeight w:val="266"/>
        </w:trPr>
        <w:tc>
          <w:tcPr>
            <w:tcW w:w="2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512881" w:rsidRPr="004C172C" w:rsidTr="00147177">
        <w:trPr>
          <w:trHeight w:val="260"/>
        </w:trPr>
        <w:tc>
          <w:tcPr>
            <w:tcW w:w="2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512881" w:rsidRPr="004C172C" w:rsidTr="00147177">
        <w:trPr>
          <w:trHeight w:val="264"/>
        </w:trPr>
        <w:tc>
          <w:tcPr>
            <w:tcW w:w="2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12881" w:rsidRPr="004C172C" w:rsidTr="00147177">
        <w:trPr>
          <w:trHeight w:val="266"/>
        </w:trPr>
        <w:tc>
          <w:tcPr>
            <w:tcW w:w="2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12881" w:rsidRPr="004C172C" w:rsidRDefault="00A57FF8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12881" w:rsidRPr="004C172C" w:rsidTr="00147177">
        <w:trPr>
          <w:trHeight w:val="238"/>
        </w:trPr>
        <w:tc>
          <w:tcPr>
            <w:tcW w:w="2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12881" w:rsidRPr="004C172C" w:rsidRDefault="00421AF9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512881" w:rsidRPr="004C172C" w:rsidTr="0014717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4C172C">
        <w:rPr>
          <w:rFonts w:asciiTheme="minorHAnsi" w:hAnsiTheme="minorHAnsi"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512881" w:rsidRPr="004C172C" w:rsidTr="00147177">
        <w:trPr>
          <w:trHeight w:val="300"/>
        </w:trPr>
        <w:tc>
          <w:tcPr>
            <w:tcW w:w="281" w:type="dxa"/>
            <w:vAlign w:val="bottom"/>
          </w:tcPr>
          <w:p w:rsidR="00512881" w:rsidRPr="004C172C" w:rsidRDefault="00DB15B9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B15B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DB15B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512881" w:rsidRPr="004C172C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512881" w:rsidRPr="004C172C" w:rsidRDefault="00BD3A18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Management</w:t>
            </w:r>
            <w:r w:rsidR="00AC3EA0">
              <w:rPr>
                <w:rFonts w:asciiTheme="minorHAnsi" w:hAnsiTheme="minorHAnsi"/>
                <w:sz w:val="20"/>
                <w:szCs w:val="20"/>
                <w:lang w:val="ro-RO"/>
              </w:rPr>
              <w:t>ul</w:t>
            </w:r>
            <w:r w:rsidR="00421AF9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  <w:r w:rsidR="00AC0A6B">
              <w:rPr>
                <w:rFonts w:asciiTheme="minorHAnsi" w:hAnsiTheme="minorHAnsi"/>
                <w:sz w:val="20"/>
                <w:szCs w:val="20"/>
                <w:lang w:val="ro-RO"/>
              </w:rPr>
              <w:t>o</w:t>
            </w:r>
            <w:r w:rsidR="00215B41">
              <w:rPr>
                <w:rFonts w:asciiTheme="minorHAnsi" w:hAnsiTheme="minorHAnsi"/>
                <w:sz w:val="20"/>
                <w:szCs w:val="20"/>
                <w:lang w:val="ro-RO"/>
              </w:rPr>
              <w:t>rganizaț</w:t>
            </w:r>
            <w:r w:rsidR="00AC0A6B">
              <w:rPr>
                <w:rFonts w:asciiTheme="minorHAnsi" w:hAnsiTheme="minorHAnsi"/>
                <w:sz w:val="20"/>
                <w:szCs w:val="20"/>
                <w:lang w:val="ro-RO"/>
              </w:rPr>
              <w:t>ilor</w:t>
            </w:r>
            <w:r w:rsidR="00215B41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public</w:t>
            </w:r>
            <w:r w:rsidR="00AC3EA0">
              <w:rPr>
                <w:rFonts w:asciiTheme="minorHAnsi" w:hAnsiTheme="minorHAnsi"/>
                <w:sz w:val="20"/>
                <w:szCs w:val="20"/>
                <w:lang w:val="ro-RO"/>
              </w:rPr>
              <w:t>e</w:t>
            </w:r>
          </w:p>
        </w:tc>
      </w:tr>
      <w:tr w:rsidR="00512881" w:rsidRPr="004C172C" w:rsidTr="00147177">
        <w:trPr>
          <w:trHeight w:val="261"/>
        </w:trPr>
        <w:tc>
          <w:tcPr>
            <w:tcW w:w="281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512881" w:rsidRPr="004C172C" w:rsidRDefault="00BD3A18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Mihaela</w:t>
            </w:r>
            <w:proofErr w:type="spellEnd"/>
            <w:r w:rsidR="00215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Lambru</w:t>
            </w:r>
            <w:proofErr w:type="spellEnd"/>
          </w:p>
        </w:tc>
      </w:tr>
      <w:tr w:rsidR="00512881" w:rsidRPr="004C172C" w:rsidTr="00147177">
        <w:trPr>
          <w:trHeight w:val="266"/>
        </w:trPr>
        <w:tc>
          <w:tcPr>
            <w:tcW w:w="281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38"/>
        </w:trPr>
        <w:tc>
          <w:tcPr>
            <w:tcW w:w="281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Regimul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12881" w:rsidRPr="004C172C" w:rsidTr="00147177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81" w:rsidRPr="00421AF9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421AF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421AF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>3.Timpul</w:t>
      </w:r>
      <w:proofErr w:type="gramEnd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 xml:space="preserve"> total </w:t>
      </w:r>
      <w:proofErr w:type="spellStart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 xml:space="preserve"> (ore </w:t>
      </w:r>
      <w:proofErr w:type="spellStart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>pesemestru</w:t>
      </w:r>
      <w:proofErr w:type="spellEnd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>activităţilordidactice</w:t>
      </w:r>
      <w:proofErr w:type="spellEnd"/>
      <w:r w:rsidR="00512881" w:rsidRPr="00421AF9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512881" w:rsidRPr="00421AF9" w:rsidTr="00147177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B15B9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421AF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512881" w:rsidRPr="00421AF9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512881" w:rsidRPr="00421AF9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512881" w:rsidRPr="00421AF9">
              <w:rPr>
                <w:rFonts w:asciiTheme="minorHAnsi" w:hAnsiTheme="minorHAnsi" w:cs="Calibri"/>
                <w:sz w:val="20"/>
                <w:szCs w:val="20"/>
              </w:rPr>
              <w:t xml:space="preserve"> de ore </w:t>
            </w:r>
            <w:proofErr w:type="spellStart"/>
            <w:r w:rsidR="00512881" w:rsidRPr="00421A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</w:p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E64D97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1AF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12881" w:rsidRPr="00421AF9" w:rsidRDefault="00E64D97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>din care: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421AF9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>3.3 seminar/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421AF9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12881" w:rsidRPr="00421AF9" w:rsidTr="00147177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E64D97" w:rsidP="004C172C">
            <w:pPr>
              <w:widowControl w:val="0"/>
              <w:autoSpaceDE w:val="0"/>
              <w:autoSpaceDN w:val="0"/>
              <w:adjustRightInd w:val="0"/>
              <w:spacing w:after="0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421AF9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>3.6 seminar/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421AF9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512881" w:rsidRPr="00421AF9" w:rsidTr="00147177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Distribuţia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fondului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ore</w:t>
            </w:r>
            <w:bookmarkStart w:id="1" w:name="_GoBack"/>
            <w:bookmarkEnd w:id="1"/>
          </w:p>
        </w:tc>
      </w:tr>
      <w:tr w:rsidR="00512881" w:rsidRPr="00421AF9" w:rsidTr="00147177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4</w:t>
            </w:r>
            <w:r w:rsidR="00E64D97" w:rsidRPr="00421A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12881" w:rsidRPr="00421AF9" w:rsidTr="00147177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421AF9">
              <w:rPr>
                <w:rFonts w:asciiTheme="minorHAnsi" w:hAnsiTheme="minorHAnsi" w:cs="Calibri"/>
                <w:sz w:val="20"/>
                <w:szCs w:val="20"/>
              </w:rPr>
              <w:t>platformel</w:t>
            </w:r>
            <w:r w:rsidRPr="00421AF9">
              <w:rPr>
                <w:rFonts w:asciiTheme="minorHAnsi" w:hAnsiTheme="minorHAnsi" w:cs="Calibri"/>
                <w:sz w:val="20"/>
                <w:szCs w:val="20"/>
              </w:rPr>
              <w:t>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4</w:t>
            </w:r>
            <w:r w:rsidR="00E64D97" w:rsidRPr="00421A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12881" w:rsidRPr="00421AF9" w:rsidTr="00147177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Pregătire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seminarii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421A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2</w:t>
            </w:r>
            <w:r w:rsidR="00E64D97" w:rsidRPr="00421A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12881" w:rsidRPr="00421AF9" w:rsidTr="00147177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512881" w:rsidRPr="00421AF9" w:rsidTr="00147177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2</w:t>
            </w:r>
            <w:r w:rsidR="00E64D97" w:rsidRPr="00421AF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12881" w:rsidRPr="00421AF9" w:rsidTr="00147177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512881" w:rsidRPr="00421AF9" w:rsidTr="00147177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</w:tr>
      <w:tr w:rsidR="00512881" w:rsidRPr="00421AF9" w:rsidTr="00147177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3.9 Total ore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</w:tr>
      <w:tr w:rsidR="00512881" w:rsidRPr="004C172C" w:rsidTr="00147177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421A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21AF9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81" w:rsidRPr="00421AF9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C172C" w:rsidRDefault="00DC4E6F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1AF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512881" w:rsidRPr="004C172C" w:rsidTr="00147177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12881" w:rsidRPr="004C172C" w:rsidTr="00147177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512881" w:rsidRPr="004C172C" w:rsidTr="00147177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="00215B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C172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acolo</w:t>
            </w:r>
            <w:proofErr w:type="spellEnd"/>
            <w:r w:rsidR="00215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="00215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215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cazul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512881" w:rsidRPr="004C172C" w:rsidTr="00147177">
        <w:trPr>
          <w:trHeight w:val="169"/>
        </w:trPr>
        <w:tc>
          <w:tcPr>
            <w:tcW w:w="1728" w:type="dxa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512881" w:rsidRPr="004C172C" w:rsidRDefault="00215B4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Acest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este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unul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 de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specializari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983F99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care au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modulul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Organiza</w:t>
            </w:r>
            <w:proofErr w:type="spellEnd"/>
            <w:r w:rsidRPr="00983F99">
              <w:rPr>
                <w:rFonts w:cs="Cambria Math"/>
                <w:i/>
                <w:sz w:val="20"/>
                <w:szCs w:val="20"/>
                <w:lang w:val="fr-FR" w:bidi="en-US"/>
              </w:rPr>
              <w:t>ț</w:t>
            </w:r>
            <w:r w:rsidRPr="00983F99">
              <w:rPr>
                <w:i/>
                <w:sz w:val="20"/>
                <w:szCs w:val="20"/>
                <w:lang w:val="fr-FR" w:bidi="en-US"/>
              </w:rPr>
              <w:t xml:space="preserve">ii </w:t>
            </w:r>
            <w:r w:rsidRPr="00983F99">
              <w:rPr>
                <w:rFonts w:cs="Cambria Math"/>
                <w:i/>
                <w:sz w:val="20"/>
                <w:szCs w:val="20"/>
                <w:lang w:val="fr-FR" w:bidi="en-US"/>
              </w:rPr>
              <w:t>ș</w:t>
            </w:r>
            <w:r w:rsidRPr="00983F99">
              <w:rPr>
                <w:i/>
                <w:sz w:val="20"/>
                <w:szCs w:val="20"/>
                <w:lang w:val="fr-FR" w:bidi="en-US"/>
              </w:rPr>
              <w:t xml:space="preserve">i au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făcut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cursul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gramStart"/>
            <w:r w:rsidRPr="00983F99">
              <w:rPr>
                <w:i/>
                <w:sz w:val="20"/>
                <w:szCs w:val="20"/>
                <w:lang w:val="fr-FR" w:bidi="en-US"/>
              </w:rPr>
              <w:t>de Administra</w:t>
            </w:r>
            <w:r w:rsidRPr="00983F99">
              <w:rPr>
                <w:rFonts w:cs="Cambria Math"/>
                <w:i/>
                <w:sz w:val="20"/>
                <w:szCs w:val="20"/>
                <w:lang w:val="fr-FR" w:bidi="en-US"/>
              </w:rPr>
              <w:t>ț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ie</w:t>
            </w:r>
            <w:proofErr w:type="spellEnd"/>
            <w:proofErr w:type="gram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publică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vor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983F99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983F99">
              <w:rPr>
                <w:i/>
                <w:sz w:val="20"/>
                <w:szCs w:val="20"/>
                <w:lang w:val="fr-FR" w:bidi="en-US"/>
              </w:rPr>
              <w:t>).</w:t>
            </w:r>
          </w:p>
        </w:tc>
      </w:tr>
      <w:tr w:rsidR="00512881" w:rsidRPr="004C172C" w:rsidTr="00147177">
        <w:trPr>
          <w:trHeight w:val="169"/>
        </w:trPr>
        <w:tc>
          <w:tcPr>
            <w:tcW w:w="1728" w:type="dxa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5.2.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lastRenderedPageBreak/>
              <w:t>seminarului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lastRenderedPageBreak/>
              <w:t>-</w:t>
            </w: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512881" w:rsidRPr="004C172C" w:rsidTr="00147177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Competenţelespecificeacumulate</w:t>
            </w:r>
            <w:proofErr w:type="spellEnd"/>
          </w:p>
        </w:tc>
      </w:tr>
      <w:tr w:rsidR="00512881" w:rsidRPr="004C172C" w:rsidTr="00147177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12881" w:rsidRPr="004C172C" w:rsidTr="00147177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512881" w:rsidRPr="004C172C" w:rsidTr="00147177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Obiectivele</w:t>
            </w:r>
            <w:proofErr w:type="spellEnd"/>
            <w:r w:rsidR="00421AF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grila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competenţelor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acumulate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12881" w:rsidRPr="004C172C" w:rsidTr="00147177">
        <w:trPr>
          <w:trHeight w:val="169"/>
        </w:trPr>
        <w:tc>
          <w:tcPr>
            <w:tcW w:w="3168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A57FF8" w:rsidRPr="004C172C" w:rsidRDefault="00A57FF8" w:rsidP="003A3246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Cursul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de </w:t>
            </w:r>
            <w:r w:rsidR="00421AF9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  <w:r w:rsidR="00421AF9" w:rsidRPr="00421AF9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Managementul</w:t>
            </w:r>
            <w:proofErr w:type="gramEnd"/>
            <w:r w:rsidR="00421AF9" w:rsidRPr="00421AF9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 xml:space="preserve"> organizaților publice</w:t>
            </w:r>
            <w:r w:rsidR="00421AF9"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oferă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un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cadru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general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pentru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înțelegerea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modului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in care</w:t>
            </w:r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se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iau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decizii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organizațiile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contemporane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, cu accent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pe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prezentarea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unui</w:t>
            </w:r>
            <w:proofErr w:type="spellEnd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pachet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analize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tip </w:t>
            </w:r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evaluative specific </w:t>
            </w:r>
            <w:proofErr w:type="spellStart"/>
            <w:r w:rsidR="00421AF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domeniului</w:t>
            </w:r>
            <w:proofErr w:type="spellEnd"/>
            <w:r w:rsidRPr="004C172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A57FF8" w:rsidRPr="004C172C" w:rsidRDefault="00A57FF8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Altfel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spus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curs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of</w:t>
            </w:r>
            <w:r w:rsidR="00036A8B" w:rsidRPr="004C172C">
              <w:rPr>
                <w:rFonts w:asciiTheme="minorHAnsi" w:hAnsiTheme="minorHAnsi"/>
                <w:sz w:val="20"/>
                <w:szCs w:val="20"/>
              </w:rPr>
              <w:t>eră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perspectivă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</w:rPr>
              <w:t xml:space="preserve"> la</w:t>
            </w:r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Noul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Manangement</w:t>
            </w:r>
            <w:proofErr w:type="spellEnd"/>
            <w:r w:rsidR="004C172C">
              <w:rPr>
                <w:rFonts w:asciiTheme="minorHAnsi" w:hAnsiTheme="minorHAnsi"/>
                <w:sz w:val="20"/>
                <w:szCs w:val="20"/>
              </w:rPr>
              <w:t xml:space="preserve"> Public,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theoretic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contemporan</w:t>
            </w:r>
            <w:proofErr w:type="spellEnd"/>
            <w:r w:rsidR="004C172C">
              <w:rPr>
                <w:rFonts w:asciiTheme="minorHAnsi" w:hAnsiTheme="minorHAnsi"/>
                <w:sz w:val="20"/>
                <w:szCs w:val="20"/>
              </w:rPr>
              <w:t xml:space="preserve"> care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ghideaza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reforma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organizatiilor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C172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4C172C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</w:p>
          <w:p w:rsidR="00512881" w:rsidRPr="004C172C" w:rsidRDefault="00A57FF8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sens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transmite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cunoștințe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fundamentale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prezentarea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principalelor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teorii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modele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dezvoltate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domeniului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studiu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specif</w:t>
            </w:r>
            <w:r w:rsidR="004C172C">
              <w:rPr>
                <w:rFonts w:asciiTheme="minorHAnsi" w:hAnsiTheme="minorHAnsi"/>
                <w:sz w:val="20"/>
                <w:szCs w:val="20"/>
              </w:rPr>
              <w:t xml:space="preserve">ic </w:t>
            </w:r>
            <w:proofErr w:type="spellStart"/>
            <w:r w:rsidR="004C172C">
              <w:rPr>
                <w:rFonts w:asciiTheme="minorHAnsi" w:hAnsiTheme="minorHAnsi"/>
                <w:sz w:val="20"/>
                <w:szCs w:val="20"/>
              </w:rPr>
              <w:t>managementului</w:t>
            </w:r>
            <w:proofErr w:type="spellEnd"/>
            <w:r w:rsidR="004C172C">
              <w:rPr>
                <w:rFonts w:asciiTheme="minorHAnsi" w:hAnsiTheme="minorHAnsi"/>
                <w:sz w:val="20"/>
                <w:szCs w:val="20"/>
              </w:rPr>
              <w:t xml:space="preserve"> public</w:t>
            </w:r>
            <w:r w:rsidRPr="004C172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Diseminarea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cunoștințelor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va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realize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atât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intermediul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cât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exerciții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seminar.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lângă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formarea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profesionale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cursul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urmărește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dezvolte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transversale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a le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facilita</w:t>
            </w:r>
            <w:proofErr w:type="spellEnd"/>
            <w:r w:rsidR="00421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acestora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324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mai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bună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integrare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piața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muncii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3246">
              <w:rPr>
                <w:rFonts w:asciiTheme="minorHAnsi" w:hAnsiTheme="minorHAnsi"/>
                <w:sz w:val="20"/>
                <w:szCs w:val="20"/>
              </w:rPr>
              <w:t>sau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continuarea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studiilor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ciclurilor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superioare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12881" w:rsidRPr="004C172C" w:rsidTr="00147177">
        <w:trPr>
          <w:trHeight w:val="169"/>
        </w:trPr>
        <w:tc>
          <w:tcPr>
            <w:tcW w:w="3168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7.2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Obiectivele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036A8B" w:rsidRPr="004C172C" w:rsidRDefault="00A57FF8" w:rsidP="003A32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>1) Cursul oferă participanților o perspectivă globală și generală cu privire la caracteristicile și specificului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managmentului public</w:t>
            </w: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>. (2) Cursul facilitează studenților d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obindirea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cunostinte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aprofundate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in</w:t>
            </w:r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managementului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organiza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iilor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, le c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reste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gradului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intelegere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specificului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elementelor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management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public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și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diferenţelor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şi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asemănărilor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dintre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managmentulor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ganizaţiilor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publice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şi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celor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private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  <w:p w:rsidR="00036A8B" w:rsidRPr="004C172C" w:rsidRDefault="00A57FF8" w:rsidP="003A32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>(3) Cursul permite asimilarea vocabularului / limbajului specific utilizat în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studiul managementului public,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mai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buna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înțelegere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</w:rPr>
              <w:t xml:space="preserve"> a 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teoriilor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subsumate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36A8B" w:rsidRPr="004C172C">
              <w:rPr>
                <w:rFonts w:asciiTheme="minorHAnsi" w:hAnsiTheme="minorHAnsi"/>
                <w:sz w:val="20"/>
                <w:szCs w:val="20"/>
              </w:rPr>
              <w:t>noului</w:t>
            </w:r>
            <w:proofErr w:type="spellEnd"/>
            <w:r w:rsidR="00036A8B" w:rsidRPr="004C172C">
              <w:rPr>
                <w:rFonts w:asciiTheme="minorHAnsi" w:hAnsiTheme="minorHAnsi"/>
                <w:sz w:val="20"/>
                <w:szCs w:val="20"/>
              </w:rPr>
              <w:t xml:space="preserve"> management public (NMP);</w:t>
            </w:r>
          </w:p>
          <w:p w:rsidR="00A57FF8" w:rsidRPr="004C172C" w:rsidRDefault="00A57FF8" w:rsidP="003A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>(4) Cursul facilitează abordarea critică a diverselor practici organizaționale din zona cercetărilor evaluative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ro-RO"/>
              </w:rPr>
              <w:t>,</w:t>
            </w:r>
            <w:r w:rsidR="00036A8B" w:rsidRPr="004C172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dezvoltarea abilitatii de a realiza analiză instituţională, de a colecta si interpreta date si informatii</w:t>
            </w: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>;</w:t>
            </w:r>
          </w:p>
          <w:p w:rsidR="00A57FF8" w:rsidRPr="004C172C" w:rsidRDefault="00A57FF8" w:rsidP="003A324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(5) Cursul permite dezvoltarea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capacitată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ții de 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analiza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procese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luarea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deciziilor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vizind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resurse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, </w:t>
            </w:r>
            <w:r w:rsidRPr="004C172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capacitatea de a analiza si sintetiza date si documente </w:t>
            </w:r>
            <w:r w:rsidR="00F871F2" w:rsidRPr="004C172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specifice utilizate în </w:t>
            </w:r>
            <w:r w:rsidRPr="004C172C">
              <w:rPr>
                <w:rFonts w:asciiTheme="minorHAnsi" w:hAnsiTheme="minorHAnsi"/>
                <w:sz w:val="20"/>
                <w:szCs w:val="20"/>
                <w:lang w:val="it-IT"/>
              </w:rPr>
              <w:t>administratia publica locala si centrală;</w:t>
            </w:r>
          </w:p>
          <w:p w:rsidR="00512881" w:rsidRPr="004C172C" w:rsidRDefault="00A57FF8" w:rsidP="003A3246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(6) Cursul oferă cadrul necesar pentru a crește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dinamica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procesului</w:t>
            </w:r>
            <w:proofErr w:type="spellEnd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management public,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logica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actorilor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proceselor</w:t>
            </w:r>
            <w:proofErr w:type="spellEnd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care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determină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dezvoltarea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proceselor</w:t>
            </w:r>
            <w:proofErr w:type="spellEnd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reformă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organiza</w:t>
            </w:r>
            <w:proofErr w:type="spellEnd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iile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871F2" w:rsidRPr="004C172C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512881" w:rsidRPr="004C172C" w:rsidTr="00147177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512881" w:rsidRPr="004C172C" w:rsidTr="0014717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512881" w:rsidRPr="004C172C" w:rsidTr="0014717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D70DCC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Curs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introductiv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036A8B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2.. </w:t>
            </w:r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De la </w:t>
            </w:r>
            <w:proofErr w:type="spellStart"/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modelul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clasic</w:t>
            </w:r>
            <w:proofErr w:type="spellEnd"/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administraţie</w:t>
            </w:r>
            <w:proofErr w:type="spellEnd"/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</w:t>
            </w:r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a 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noul</w:t>
            </w:r>
            <w:proofErr w:type="spellEnd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public (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studiul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birocra</w:t>
            </w:r>
            <w:proofErr w:type="spellEnd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iei</w:t>
            </w:r>
            <w:proofErr w:type="spellEnd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imperativele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schimbării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noul</w:t>
            </w:r>
            <w:proofErr w:type="spellEnd"/>
            <w:r w:rsidR="004C172C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public) </w:t>
            </w:r>
            <w:r w:rsidR="00036A8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;</w:t>
            </w:r>
          </w:p>
          <w:p w:rsidR="00307E48" w:rsidRPr="003A3246" w:rsidRDefault="00D70DCC" w:rsidP="003A3246">
            <w:pPr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AF62CB" w:rsidRPr="003A3246">
              <w:rPr>
                <w:rFonts w:asciiTheme="minorHAnsi" w:hAnsiTheme="minorHAnsi"/>
                <w:sz w:val="20"/>
                <w:szCs w:val="20"/>
              </w:rPr>
              <w:t xml:space="preserve">Management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administraţie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Specificul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managmentului</w:t>
            </w:r>
            <w:proofErr w:type="spellEnd"/>
            <w:r w:rsidR="00AF62CB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public ;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Funcţiile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guvernului</w:t>
            </w:r>
            <w:proofErr w:type="spellEnd"/>
            <w:r w:rsidR="00AF62CB" w:rsidRPr="003A324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F62CB" w:rsidRPr="003A3246" w:rsidRDefault="00D70DCC" w:rsidP="003A3246">
            <w:pPr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Instrumentele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guvernului</w:t>
            </w:r>
            <w:proofErr w:type="spellEnd"/>
            <w:r w:rsidR="00AF62CB" w:rsidRPr="003A324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F62CB" w:rsidRPr="003A3246">
              <w:rPr>
                <w:rFonts w:asciiTheme="minorHAnsi" w:hAnsiTheme="minorHAnsi"/>
                <w:sz w:val="20"/>
                <w:szCs w:val="20"/>
              </w:rPr>
              <w:t>administraţie</w:t>
            </w:r>
            <w:proofErr w:type="spellEnd"/>
            <w:r w:rsidR="00D05D04" w:rsidRPr="003A324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07E48" w:rsidRPr="003A3246" w:rsidRDefault="00D70DCC" w:rsidP="003A3246">
            <w:pPr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5. </w:t>
            </w:r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Management public versus management </w:t>
            </w:r>
            <w:proofErr w:type="spellStart"/>
            <w:r w:rsidR="00307E48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privat</w:t>
            </w:r>
            <w:proofErr w:type="spellEnd"/>
            <w:r w:rsidR="00307E48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307E48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Specificul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E48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managmentului</w:t>
            </w:r>
            <w:proofErr w:type="spellEnd"/>
            <w:r w:rsidR="00307E48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public</w:t>
            </w:r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</w:p>
          <w:p w:rsidR="00D05D04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D05D04" w:rsidRPr="003A3246">
              <w:rPr>
                <w:rFonts w:asciiTheme="minorHAnsi" w:hAnsiTheme="minorHAnsi"/>
                <w:sz w:val="20"/>
                <w:szCs w:val="20"/>
              </w:rPr>
              <w:t>Management strategic</w:t>
            </w:r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Dimensiunea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strategică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lastRenderedPageBreak/>
              <w:t>aadministra</w:t>
            </w:r>
            <w:proofErr w:type="spellEnd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iei</w:t>
            </w:r>
            <w:proofErr w:type="spellEnd"/>
            <w:r w:rsidR="003A3246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5D04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– de la </w:t>
            </w:r>
            <w:proofErr w:type="spellStart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elaborare</w:t>
            </w:r>
            <w:proofErr w:type="spellEnd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strategii</w:t>
            </w:r>
            <w:proofErr w:type="spellEnd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la </w:t>
            </w:r>
            <w:proofErr w:type="spellStart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implementare</w:t>
            </w:r>
            <w:proofErr w:type="spellEnd"/>
            <w:proofErr w:type="gramEnd"/>
            <w:r w:rsidR="00057AFE" w:rsidRPr="003A3246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</w:p>
          <w:p w:rsidR="00D05D04" w:rsidRPr="003A3246" w:rsidRDefault="00D05D04" w:rsidP="003A3246">
            <w:p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AF62CB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AF62CB" w:rsidRPr="003A3246">
              <w:rPr>
                <w:rFonts w:asciiTheme="minorHAnsi" w:hAnsiTheme="minorHAnsi"/>
                <w:sz w:val="20"/>
                <w:szCs w:val="20"/>
              </w:rPr>
              <w:t>Lea</w:t>
            </w:r>
            <w:r w:rsidR="00D05D04" w:rsidRPr="003A3246">
              <w:rPr>
                <w:rFonts w:asciiTheme="minorHAnsi" w:hAnsiTheme="minorHAnsi"/>
                <w:sz w:val="20"/>
                <w:szCs w:val="20"/>
              </w:rPr>
              <w:t>deship in administrația publică;</w:t>
            </w:r>
            <w:r w:rsidR="00057AFE" w:rsidRPr="003A3246">
              <w:rPr>
                <w:rFonts w:asciiTheme="minorHAnsi" w:hAnsiTheme="minorHAnsi"/>
                <w:sz w:val="20"/>
                <w:szCs w:val="20"/>
              </w:rPr>
              <w:t>Lideri, manageri și administratori. Rolul leadershipului in contextul reformei administrației publice;</w:t>
            </w:r>
          </w:p>
          <w:p w:rsidR="00307E48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 w:rsidR="00D05D04" w:rsidRPr="003A3246">
              <w:rPr>
                <w:rFonts w:asciiTheme="minorHAnsi" w:hAnsiTheme="minorHAnsi"/>
                <w:sz w:val="20"/>
                <w:szCs w:val="20"/>
              </w:rPr>
              <w:t>Administrația publică și publicul ei. Elemente de teoria a bunei guvernări (consultare publică, participare publică);</w:t>
            </w:r>
          </w:p>
          <w:p w:rsidR="00D05D04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9. </w:t>
            </w:r>
            <w:r w:rsidR="00D05D04" w:rsidRPr="003A3246">
              <w:rPr>
                <w:rFonts w:asciiTheme="minorHAnsi" w:hAnsiTheme="minorHAnsi"/>
                <w:sz w:val="20"/>
                <w:szCs w:val="20"/>
                <w:lang w:val="it-IT"/>
              </w:rPr>
              <w:t>Resurse umane şi managementul performanţei în administraţia publică;</w:t>
            </w:r>
          </w:p>
          <w:p w:rsidR="00D05D04" w:rsidRPr="003A3246" w:rsidRDefault="00D05D04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05D04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="00D05D04" w:rsidRPr="003A3246">
              <w:rPr>
                <w:rFonts w:asciiTheme="minorHAnsi" w:hAnsiTheme="minorHAnsi"/>
                <w:sz w:val="20"/>
                <w:szCs w:val="20"/>
              </w:rPr>
              <w:t>White collar crime. Administrația publică și problema corupției;</w:t>
            </w:r>
          </w:p>
          <w:p w:rsidR="00AF62CB" w:rsidRPr="003A3246" w:rsidRDefault="00D70DCC" w:rsidP="003A3246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11. </w:t>
            </w:r>
            <w:r w:rsidR="00057AFE" w:rsidRPr="003A3246">
              <w:rPr>
                <w:rFonts w:asciiTheme="minorHAnsi" w:hAnsiTheme="minorHAnsi"/>
                <w:sz w:val="20"/>
                <w:szCs w:val="20"/>
              </w:rPr>
              <w:t>Administrație publică și societate civilă. Reforma contractării sociale. Parteneriat public-privat in oferta de servicii deinteres general.</w:t>
            </w:r>
          </w:p>
          <w:p w:rsidR="00512881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12.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Reforma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administrației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publice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Studii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caz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Marea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Britanie, SUA,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Franța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  <w:p w:rsidR="00057AFE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13.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Reforma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administrației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publice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Europa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Centrală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de Est.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Studiu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caz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România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  <w:p w:rsidR="00D70DCC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:rsidR="00057AFE" w:rsidRPr="003A3246" w:rsidRDefault="00D70DCC" w:rsidP="003A3246">
            <w:pPr>
              <w:tabs>
                <w:tab w:val="left" w:pos="-900"/>
              </w:tabs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14. </w:t>
            </w:r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Curs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evaluativ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Discutarea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examenului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Intrebări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3A3246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raspunsuri</w:t>
            </w:r>
            <w:proofErr w:type="spellEnd"/>
            <w:r w:rsidR="00057AFE" w:rsidRPr="003A3246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69" w:type="dxa"/>
            <w:shd w:val="clear" w:color="auto" w:fill="FFFFFF"/>
          </w:tcPr>
          <w:p w:rsidR="00512881" w:rsidRPr="003A3246" w:rsidRDefault="00057AFE" w:rsidP="003A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A3246">
              <w:rPr>
                <w:rFonts w:asciiTheme="minorHAnsi" w:hAnsiTheme="minorHAnsi"/>
                <w:sz w:val="20"/>
                <w:szCs w:val="20"/>
              </w:rPr>
              <w:lastRenderedPageBreak/>
              <w:t>Metode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</w:rPr>
              <w:t>învățarea</w:t>
            </w:r>
            <w:proofErr w:type="spellEnd"/>
            <w:r w:rsidR="00C808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8087F">
              <w:rPr>
                <w:rFonts w:asciiTheme="minorHAnsi" w:hAnsiTheme="minorHAnsi"/>
                <w:sz w:val="20"/>
                <w:szCs w:val="20"/>
              </w:rPr>
              <w:t>a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>ctivă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</w:rPr>
              <w:t>expunere</w:t>
            </w:r>
            <w:proofErr w:type="spellEnd"/>
            <w:r w:rsidR="00C808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</w:rPr>
              <w:t>didactică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</w:rPr>
              <w:t>dezbatere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12881" w:rsidRPr="003A3246" w:rsidRDefault="00512881" w:rsidP="003A3246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12881" w:rsidRPr="003A3246" w:rsidRDefault="00512881" w:rsidP="003A3246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A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berbach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, J. D., P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utnam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, R. D., and R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ockman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, B.A. (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1981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 xml:space="preserve">), </w:t>
            </w:r>
            <w:r w:rsidRPr="003A3246">
              <w:rPr>
                <w:rFonts w:asciiTheme="minorHAnsi" w:hAnsiTheme="minorHAnsi" w:cs="AdvP705F"/>
                <w:sz w:val="20"/>
                <w:szCs w:val="20"/>
                <w:lang w:eastAsia="ro-RO"/>
              </w:rPr>
              <w:t>Bureaucrats and Politicians in Western Democracies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, Cambridge, MA: Harvard University Press.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A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ucoin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, P. (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1990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 xml:space="preserve">), ‘‘Administrative Reform in Public Management: Paradigms, Principles, Paradoxes and Pendulums,’’ </w:t>
            </w:r>
            <w:r w:rsidRPr="003A3246">
              <w:rPr>
                <w:rFonts w:asciiTheme="minorHAnsi" w:hAnsiTheme="minorHAnsi" w:cs="AdvP705F"/>
                <w:i/>
                <w:sz w:val="20"/>
                <w:szCs w:val="20"/>
                <w:lang w:eastAsia="ro-RO"/>
              </w:rPr>
              <w:t>Governance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 xml:space="preserve">3 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(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2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 xml:space="preserve">): 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115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–</w:t>
            </w:r>
            <w:r w:rsidRPr="003A3246">
              <w:rPr>
                <w:rFonts w:asciiTheme="minorHAnsi" w:hAnsiTheme="minorHAnsi" w:cs="AdvP4C05F1"/>
                <w:sz w:val="20"/>
                <w:szCs w:val="20"/>
                <w:lang w:eastAsia="ro-RO"/>
              </w:rPr>
              <w:t>37</w:t>
            </w:r>
            <w:r w:rsidRPr="003A3246">
              <w:rPr>
                <w:rFonts w:asciiTheme="minorHAnsi" w:hAnsiTheme="minorHAnsi" w:cs="AdvP7627"/>
                <w:sz w:val="20"/>
                <w:szCs w:val="20"/>
                <w:lang w:eastAsia="ro-RO"/>
              </w:rPr>
              <w:t>.</w:t>
            </w:r>
          </w:p>
          <w:p w:rsidR="004C172C" w:rsidRPr="003A3246" w:rsidRDefault="004C172C" w:rsidP="003A324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Berk, R.A., Rossi, P.H. (1999). </w:t>
            </w:r>
            <w:r w:rsidRPr="003A3246">
              <w:rPr>
                <w:rFonts w:asciiTheme="minorHAnsi" w:hAnsiTheme="minorHAnsi"/>
                <w:i/>
                <w:iCs/>
                <w:sz w:val="20"/>
                <w:szCs w:val="20"/>
              </w:rPr>
              <w:t>Thinking about program evaluation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 xml:space="preserve">, Thousand Oaks, CA:SAGE 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Dragos, D., Neamtu, B. (2007). Reforming local public administration in Romania: Trends</w:t>
            </w:r>
          </w:p>
          <w:p w:rsidR="00C53906" w:rsidRPr="003A3246" w:rsidRDefault="00C53906" w:rsidP="003A3246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 xml:space="preserve">and obstacles. </w:t>
            </w:r>
            <w:r w:rsidRPr="003A3246">
              <w:rPr>
                <w:rFonts w:asciiTheme="minorHAnsi" w:hAnsiTheme="minorHAnsi" w:cs="TimesRNewItalic"/>
                <w:i/>
                <w:iCs/>
                <w:color w:val="231F20"/>
                <w:sz w:val="20"/>
                <w:szCs w:val="20"/>
                <w:lang w:eastAsia="ro-RO"/>
              </w:rPr>
              <w:t>International Review of Administrative Sciences</w:t>
            </w: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, 19/2007, 71-78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 xml:space="preserve">Hintea, C. (2008). Public Management Reforms: Romania, in G. Bouckaert, J. Nemec, V.Nakrosis, G. Hajnal, K. Tonnisson (eds), </w:t>
            </w:r>
            <w:r w:rsidRPr="003A3246">
              <w:rPr>
                <w:rFonts w:asciiTheme="minorHAnsi" w:hAnsiTheme="minorHAnsi" w:cs="TimesRNewItalic"/>
                <w:i/>
                <w:iCs/>
                <w:color w:val="231F20"/>
                <w:sz w:val="20"/>
                <w:szCs w:val="20"/>
                <w:lang w:eastAsia="ro-RO"/>
              </w:rPr>
              <w:t>Public Management Reforms in Centraland Eastern Europe</w:t>
            </w: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, Nispacee Press, pp. 271-286.</w:t>
            </w:r>
          </w:p>
          <w:p w:rsidR="004C172C" w:rsidRPr="003A3246" w:rsidRDefault="004C172C" w:rsidP="003A324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textAlignment w:val="baseline"/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Hughes, E Owen (2003) </w:t>
            </w:r>
            <w:r w:rsidRPr="003A3246">
              <w:rPr>
                <w:rFonts w:asciiTheme="minorHAnsi" w:hAnsiTheme="minorHAnsi"/>
                <w:i/>
                <w:sz w:val="20"/>
                <w:szCs w:val="20"/>
              </w:rPr>
              <w:t>Public Management and Administration. An Introduction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>, Palgrave Mcmillan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 xml:space="preserve">Hood, C. (1991). A Public Management for All Seasons?. </w:t>
            </w:r>
            <w:r w:rsidRPr="003A3246">
              <w:rPr>
                <w:rFonts w:asciiTheme="minorHAnsi" w:hAnsiTheme="minorHAnsi" w:cs="TimesRNewItalic"/>
                <w:i/>
                <w:iCs/>
                <w:color w:val="231F20"/>
                <w:sz w:val="20"/>
                <w:szCs w:val="20"/>
                <w:lang w:eastAsia="ro-RO"/>
              </w:rPr>
              <w:t>Public Administration</w:t>
            </w: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, 69 (1).</w:t>
            </w:r>
          </w:p>
          <w:p w:rsidR="004C172C" w:rsidRPr="003A3246" w:rsidRDefault="004C172C" w:rsidP="003A324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McDavid, C.James, Hawthorn R,Laura (2006) </w:t>
            </w:r>
            <w:r w:rsidRPr="003A3246">
              <w:rPr>
                <w:rFonts w:asciiTheme="minorHAnsi" w:hAnsiTheme="minorHAnsi"/>
                <w:i/>
                <w:iCs/>
                <w:sz w:val="20"/>
                <w:szCs w:val="20"/>
              </w:rPr>
              <w:t>Program Evaluation and Performance Measurement. An Introduction to Practice.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 xml:space="preserve"> Thousand Oaks, CA:SAGE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 xml:space="preserve">Osborne, D., Gaebler, T. (1993). </w:t>
            </w:r>
            <w:r w:rsidRPr="003A3246">
              <w:rPr>
                <w:rFonts w:asciiTheme="minorHAnsi" w:hAnsiTheme="minorHAnsi" w:cs="TimesRNewItalic"/>
                <w:i/>
                <w:iCs/>
                <w:color w:val="231F20"/>
                <w:sz w:val="20"/>
                <w:szCs w:val="20"/>
                <w:lang w:eastAsia="ro-RO"/>
              </w:rPr>
              <w:t>Reinventing Government, How the EntrepreneurialSpirit is Transforming the Public Sector</w:t>
            </w: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, Plume.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 xml:space="preserve">Osborne, S. (2006). The New Public Governance?, </w:t>
            </w:r>
            <w:r w:rsidRPr="003A3246">
              <w:rPr>
                <w:rFonts w:asciiTheme="minorHAnsi" w:hAnsiTheme="minorHAnsi" w:cs="TimesRNewItalic"/>
                <w:i/>
                <w:iCs/>
                <w:color w:val="231F20"/>
                <w:sz w:val="20"/>
                <w:szCs w:val="20"/>
                <w:lang w:eastAsia="ro-RO"/>
              </w:rPr>
              <w:t>Public Management Review</w:t>
            </w:r>
            <w:r w:rsidRPr="003A3246">
              <w:rPr>
                <w:rFonts w:asciiTheme="minorHAnsi" w:hAnsiTheme="minorHAnsi" w:cs="TimesRNew"/>
                <w:color w:val="231F20"/>
                <w:sz w:val="20"/>
                <w:szCs w:val="20"/>
                <w:lang w:eastAsia="ro-RO"/>
              </w:rPr>
              <w:t>, 8(3),377-387.</w:t>
            </w:r>
          </w:p>
          <w:p w:rsidR="00C53906" w:rsidRPr="003A3246" w:rsidRDefault="00C53906" w:rsidP="003A3246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line="240" w:lineRule="auto"/>
              <w:ind w:left="426" w:hanging="284"/>
              <w:textAlignment w:val="baseline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Shapiro, Susan P.(1990), </w:t>
            </w:r>
            <w:r w:rsidRPr="003A3246">
              <w:rPr>
                <w:rFonts w:asciiTheme="minorHAnsi" w:hAnsiTheme="minorHAnsi"/>
                <w:i/>
                <w:sz w:val="20"/>
                <w:szCs w:val="20"/>
              </w:rPr>
              <w:t>Collaring the Crime, Not the Criminal: Reconsidering the Concept of White-Collar Crime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>, American Sociological Review 55.3 : 346.</w:t>
            </w:r>
          </w:p>
          <w:p w:rsidR="00036A8B" w:rsidRPr="003A3246" w:rsidRDefault="00036A8B" w:rsidP="003A3246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McDavid, C.James, Hawthorn R,Laura (2006) </w:t>
            </w:r>
            <w:r w:rsidRPr="003A3246">
              <w:rPr>
                <w:rFonts w:asciiTheme="minorHAnsi" w:hAnsiTheme="minorHAnsi"/>
                <w:i/>
                <w:iCs/>
                <w:sz w:val="20"/>
                <w:szCs w:val="20"/>
              </w:rPr>
              <w:t>Program Evaluation and Performance Measurement. An Introduction to Practice.</w:t>
            </w:r>
            <w:r w:rsidRPr="003A3246">
              <w:rPr>
                <w:rFonts w:asciiTheme="minorHAnsi" w:hAnsiTheme="minorHAnsi"/>
                <w:sz w:val="20"/>
                <w:szCs w:val="20"/>
              </w:rPr>
              <w:t xml:space="preserve"> Thousand Oaks, CA:SAGE</w:t>
            </w:r>
          </w:p>
          <w:p w:rsidR="00036A8B" w:rsidRPr="003A3246" w:rsidRDefault="00036A8B" w:rsidP="003A3246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</w:rPr>
              <w:t xml:space="preserve">Pollitt, Christopher, Bouckaert (2000) </w:t>
            </w:r>
            <w:r w:rsidRPr="003A3246">
              <w:rPr>
                <w:rFonts w:asciiTheme="minorHAnsi" w:hAnsiTheme="minorHAnsi"/>
                <w:i/>
                <w:sz w:val="20"/>
                <w:szCs w:val="20"/>
              </w:rPr>
              <w:t xml:space="preserve">Reforma Managementului  Public. </w:t>
            </w:r>
            <w:r w:rsidRPr="003A3246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Analiză comparată</w:t>
            </w: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>. Editura Epigraf, Chişinău 2004</w:t>
            </w:r>
          </w:p>
          <w:p w:rsidR="00036A8B" w:rsidRPr="003A3246" w:rsidRDefault="00036A8B" w:rsidP="003A3246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Simon, A. Herbert (1947) </w:t>
            </w:r>
            <w:r w:rsidRPr="003A3246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Comportamnetul Administrativ. Studiu asupra proceselor de luare a deciziilor în structurile administrative.</w:t>
            </w: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Editura Ştiinţa 2004</w:t>
            </w:r>
          </w:p>
          <w:p w:rsidR="00036A8B" w:rsidRPr="003A3246" w:rsidRDefault="00036A8B" w:rsidP="003A32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Cătălin, Zamfir şi Stănescu, Simona (coordonatori) </w:t>
            </w:r>
            <w:r w:rsidRPr="003A3246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it-IT"/>
              </w:rPr>
              <w:t>Enciclopedia dezvoltării sociale</w:t>
            </w:r>
            <w:r w:rsidRPr="003A3246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Editura Polirom, Collegium, 659 pg., 2007. ISBN: 978-973-46-0702-0 </w:t>
            </w:r>
            <w:r w:rsidRPr="003A324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Lambru, Mihaela</w:t>
            </w:r>
            <w:r w:rsidRPr="003A3246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(coautor) redactare termeni: Administraţie publică, consultare publică, contractare socială, politici publice.</w:t>
            </w:r>
          </w:p>
          <w:p w:rsidR="00036A8B" w:rsidRPr="003A3246" w:rsidRDefault="00036A8B" w:rsidP="003A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Weimer,L David, Vining, R Aidan (1999) </w:t>
            </w:r>
            <w:r w:rsidRPr="003A3246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Analiza Politicilor Publice. Concepte şi practică. </w:t>
            </w:r>
            <w:r w:rsidRPr="003A3246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Editura Arc, Chişinău 2004</w:t>
            </w:r>
          </w:p>
          <w:p w:rsidR="00036A8B" w:rsidRPr="003A3246" w:rsidRDefault="00036A8B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>***</w:t>
            </w:r>
            <w:r w:rsidRPr="003A3246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Lambru, Mihaela</w:t>
            </w:r>
            <w:r w:rsidRPr="003A3246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>Politici Publice</w:t>
            </w: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Universitatea Bucureşti, Facultatea de Sociologie şi Asistenţă Socială, Master </w:t>
            </w: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 xml:space="preserve">Administraţie Publică, 2004,2005,2006,2007 – Manual, suport de curs </w:t>
            </w:r>
            <w:r w:rsidR="00DB15B9" w:rsidRPr="003A3246">
              <w:rPr>
                <w:sz w:val="20"/>
                <w:szCs w:val="20"/>
              </w:rPr>
              <w:fldChar w:fldCharType="begin"/>
            </w:r>
            <w:r w:rsidR="00BD3A18" w:rsidRPr="003A3246">
              <w:rPr>
                <w:sz w:val="20"/>
                <w:szCs w:val="20"/>
              </w:rPr>
              <w:instrText xml:space="preserve"> HYPERLINK "http://www.sas.unibuc.ro" </w:instrText>
            </w:r>
            <w:r w:rsidR="00DB15B9" w:rsidRPr="003A3246">
              <w:rPr>
                <w:sz w:val="20"/>
                <w:szCs w:val="20"/>
              </w:rPr>
              <w:fldChar w:fldCharType="separate"/>
            </w:r>
            <w:r w:rsidRPr="003A3246">
              <w:rPr>
                <w:rStyle w:val="Hyperlink"/>
                <w:rFonts w:asciiTheme="minorHAnsi" w:hAnsiTheme="minorHAnsi"/>
                <w:sz w:val="20"/>
                <w:szCs w:val="20"/>
                <w:lang w:val="it-IT"/>
              </w:rPr>
              <w:t>www.sas.unibuc.ro</w:t>
            </w:r>
            <w:r w:rsidR="00DB15B9" w:rsidRPr="003A3246">
              <w:rPr>
                <w:rStyle w:val="Hyperlink"/>
                <w:rFonts w:asciiTheme="minorHAnsi" w:hAnsiTheme="minorHAnsi"/>
                <w:sz w:val="20"/>
                <w:szCs w:val="20"/>
                <w:lang w:val="it-IT"/>
              </w:rPr>
              <w:fldChar w:fldCharType="end"/>
            </w:r>
          </w:p>
          <w:p w:rsidR="00036A8B" w:rsidRPr="003A3246" w:rsidRDefault="00036A8B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036A8B" w:rsidRPr="003A3246" w:rsidRDefault="00036A8B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***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Lambru</w:t>
            </w:r>
            <w:proofErr w:type="spellEnd"/>
            <w:r w:rsidRPr="003A3246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Mihaela</w:t>
            </w:r>
            <w:r w:rsidRPr="003A3246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PoliticiPubliceşiAdministraţie</w:t>
            </w:r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Universitatea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Bucureşti,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Facultatea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Sociologie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şiAsistenţăSocială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Master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AdministraţiePublică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2007 –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Manual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>suport</w:t>
            </w:r>
            <w:proofErr w:type="spellEnd"/>
            <w:r w:rsidRPr="003A3246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curs</w:t>
            </w:r>
            <w:hyperlink r:id="rId5" w:history="1">
              <w:r w:rsidRPr="003A3246">
                <w:rPr>
                  <w:rStyle w:val="Hyperlink"/>
                  <w:rFonts w:asciiTheme="minorHAnsi" w:hAnsiTheme="minorHAnsi"/>
                  <w:sz w:val="20"/>
                  <w:szCs w:val="20"/>
                  <w:lang w:val="fr-FR"/>
                </w:rPr>
                <w:t>www.sas.unibuc.ro</w:t>
              </w:r>
            </w:hyperlink>
          </w:p>
          <w:p w:rsidR="00036A8B" w:rsidRPr="003A3246" w:rsidRDefault="00036A8B" w:rsidP="003A324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036A8B" w:rsidRPr="003A3246" w:rsidRDefault="00036A8B" w:rsidP="003A3246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after="0" w:line="240" w:lineRule="auto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***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Lambru</w:t>
            </w:r>
            <w:proofErr w:type="spellEnd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Mihaela</w:t>
            </w:r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PoliticiPublice</w:t>
            </w:r>
            <w:proofErr w:type="spellEnd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pentruanalişti</w:t>
            </w:r>
            <w:proofErr w:type="spellEnd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din </w:t>
            </w:r>
            <w:proofErr w:type="spellStart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administrţiapublicăcentrală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InstitutulNaţional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Administraţie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2007.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Prinprogramul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“</w:t>
            </w:r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Strengthening the National Institute of Administration and Regional Training Centers’ capacity for developing a corps of Professional Civil Servants” , </w:t>
            </w:r>
            <w:proofErr w:type="spellStart"/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>Phare</w:t>
            </w:r>
            <w:proofErr w:type="spellEnd"/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 RO 2004/016-772.01.03.01.01</w:t>
            </w:r>
          </w:p>
          <w:p w:rsidR="00036A8B" w:rsidRPr="003A3246" w:rsidRDefault="00036A8B" w:rsidP="003A3246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after="0" w:line="240" w:lineRule="auto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</w:p>
          <w:p w:rsidR="00036A8B" w:rsidRPr="003A3246" w:rsidRDefault="00036A8B" w:rsidP="003A3246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after="0" w:line="240" w:lineRule="auto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***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Lambru</w:t>
            </w:r>
            <w:proofErr w:type="spellEnd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Mihaela</w:t>
            </w:r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PoliticiPublice</w:t>
            </w:r>
            <w:proofErr w:type="spellEnd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3A3246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pentruinaltifuncţionari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InstitutulNaţional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Administraţie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2007. </w:t>
            </w:r>
            <w:proofErr w:type="spellStart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Prinprogramul</w:t>
            </w:r>
            <w:proofErr w:type="spellEnd"/>
            <w:r w:rsidRPr="003A324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“</w:t>
            </w:r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Strengthening the National Institute of Administration and Regional Training Centers’ capacity for developing a corps of Professional Civil Servants” , </w:t>
            </w:r>
            <w:proofErr w:type="spellStart"/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>Phare</w:t>
            </w:r>
            <w:proofErr w:type="spellEnd"/>
            <w:r w:rsidRPr="003A3246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 RO 2004/016-772.01.03.01.01</w:t>
            </w:r>
          </w:p>
          <w:p w:rsidR="00036A8B" w:rsidRPr="003A3246" w:rsidRDefault="00036A8B" w:rsidP="003A3246">
            <w:pPr>
              <w:pStyle w:val="FootnoteText"/>
              <w:ind w:left="360"/>
              <w:jc w:val="both"/>
              <w:rPr>
                <w:rFonts w:asciiTheme="minorHAnsi" w:hAnsiTheme="minorHAnsi"/>
              </w:rPr>
            </w:pPr>
          </w:p>
          <w:p w:rsidR="00036A8B" w:rsidRPr="003A3246" w:rsidRDefault="00036A8B" w:rsidP="003A32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3246">
              <w:rPr>
                <w:rFonts w:asciiTheme="minorHAnsi" w:hAnsiTheme="minorHAnsi"/>
                <w:sz w:val="20"/>
                <w:szCs w:val="20"/>
                <w:lang w:val="it-IT"/>
              </w:rPr>
              <w:t>Diverse strategii guvernamentale şi legislaţie din România in domeniul reformei administraţiei publice.</w:t>
            </w:r>
          </w:p>
          <w:p w:rsidR="00036A8B" w:rsidRPr="003A3246" w:rsidRDefault="00036A8B" w:rsidP="003A324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512881" w:rsidRPr="003A3246" w:rsidRDefault="00512881" w:rsidP="003A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512881" w:rsidRPr="004C172C" w:rsidTr="0014717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12881" w:rsidRPr="004C172C" w:rsidRDefault="00512881" w:rsidP="004C17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12881" w:rsidRPr="004C172C" w:rsidTr="00147177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12881" w:rsidRPr="004C172C" w:rsidRDefault="00512881" w:rsidP="004C172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="003A3246">
              <w:rPr>
                <w:rFonts w:asciiTheme="minorHAnsi" w:hAnsiTheme="minorHAnsi"/>
                <w:b/>
                <w:sz w:val="20"/>
                <w:szCs w:val="20"/>
              </w:rPr>
              <w:t xml:space="preserve"> afferent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512881" w:rsidRPr="004C172C" w:rsidTr="00147177">
        <w:trPr>
          <w:trHeight w:val="713"/>
        </w:trPr>
        <w:tc>
          <w:tcPr>
            <w:tcW w:w="9828" w:type="dxa"/>
          </w:tcPr>
          <w:p w:rsidR="00512881" w:rsidRPr="004C172C" w:rsidRDefault="00B56FB5" w:rsidP="004C172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orientată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practica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cazuistica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specialitate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astfel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incat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absolventii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pregatiti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atat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/epistemic, cat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practic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512881" w:rsidRPr="004C172C" w:rsidTr="00147177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172C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4C172C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512881" w:rsidRPr="004C172C" w:rsidTr="00147177">
        <w:trPr>
          <w:trHeight w:val="190"/>
          <w:jc w:val="center"/>
        </w:trPr>
        <w:tc>
          <w:tcPr>
            <w:tcW w:w="2088" w:type="dxa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Pondere</w:t>
            </w:r>
            <w:proofErr w:type="spellEnd"/>
            <w:r w:rsidRPr="004C172C">
              <w:rPr>
                <w:rFonts w:asciiTheme="minorHAnsi" w:hAnsiTheme="minorHAnsi"/>
                <w:sz w:val="20"/>
                <w:szCs w:val="20"/>
              </w:rPr>
              <w:t xml:space="preserve"> din nota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512881" w:rsidRPr="004C172C" w:rsidTr="00147177">
        <w:trPr>
          <w:trHeight w:val="455"/>
          <w:jc w:val="center"/>
        </w:trPr>
        <w:tc>
          <w:tcPr>
            <w:tcW w:w="2088" w:type="dxa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512881" w:rsidRPr="004C172C" w:rsidRDefault="00B56FB5" w:rsidP="004C172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512881" w:rsidRDefault="00B56FB5" w:rsidP="004C172C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</w:p>
          <w:p w:rsidR="00B56FB5" w:rsidRPr="004C172C" w:rsidRDefault="00B56FB5" w:rsidP="004C172C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Prezentașiimplicare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discuții</w:t>
            </w:r>
            <w:proofErr w:type="spellEnd"/>
          </w:p>
        </w:tc>
        <w:tc>
          <w:tcPr>
            <w:tcW w:w="1440" w:type="dxa"/>
          </w:tcPr>
          <w:p w:rsidR="00512881" w:rsidRDefault="00B56FB5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B56FB5" w:rsidRPr="004C172C" w:rsidRDefault="00B56FB5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</w:tr>
      <w:tr w:rsidR="00512881" w:rsidRPr="004C172C" w:rsidTr="00147177">
        <w:trPr>
          <w:trHeight w:val="548"/>
          <w:jc w:val="center"/>
        </w:trPr>
        <w:tc>
          <w:tcPr>
            <w:tcW w:w="2088" w:type="dxa"/>
            <w:vAlign w:val="center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>10.5 Seminar/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512881" w:rsidRPr="004C172C" w:rsidRDefault="00512881" w:rsidP="004C172C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170"/>
          <w:jc w:val="center"/>
        </w:trPr>
        <w:tc>
          <w:tcPr>
            <w:tcW w:w="9828" w:type="dxa"/>
            <w:gridSpan w:val="4"/>
          </w:tcPr>
          <w:p w:rsidR="00512881" w:rsidRPr="004C172C" w:rsidRDefault="00512881" w:rsidP="004C17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4C172C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512881" w:rsidRPr="004C172C" w:rsidTr="00147177">
        <w:trPr>
          <w:trHeight w:val="471"/>
          <w:jc w:val="center"/>
        </w:trPr>
        <w:tc>
          <w:tcPr>
            <w:tcW w:w="9828" w:type="dxa"/>
            <w:gridSpan w:val="4"/>
          </w:tcPr>
          <w:p w:rsidR="00512881" w:rsidRPr="004C172C" w:rsidRDefault="003A3246" w:rsidP="004C172C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4C172C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4C172C">
        <w:rPr>
          <w:rFonts w:asciiTheme="minorHAnsi" w:hAnsiTheme="minorHAnsi"/>
          <w:sz w:val="20"/>
          <w:szCs w:val="20"/>
        </w:rPr>
        <w:t>completarii</w:t>
      </w:r>
      <w:proofErr w:type="spellEnd"/>
      <w:r w:rsidRPr="004C172C">
        <w:rPr>
          <w:rFonts w:asciiTheme="minorHAnsi" w:hAnsiTheme="minorHAnsi"/>
          <w:sz w:val="20"/>
          <w:szCs w:val="20"/>
        </w:rPr>
        <w:tab/>
      </w:r>
      <w:r w:rsidRPr="004C172C">
        <w:rPr>
          <w:rFonts w:asciiTheme="minorHAnsi" w:hAnsiTheme="minorHAnsi"/>
          <w:sz w:val="20"/>
          <w:szCs w:val="20"/>
        </w:rPr>
        <w:tab/>
      </w:r>
      <w:r w:rsidRPr="004C172C">
        <w:rPr>
          <w:rFonts w:asciiTheme="minorHAnsi" w:hAnsiTheme="minorHAnsi"/>
          <w:sz w:val="20"/>
          <w:szCs w:val="20"/>
        </w:rPr>
        <w:tab/>
      </w:r>
      <w:proofErr w:type="spellStart"/>
      <w:r w:rsidRPr="004C172C">
        <w:rPr>
          <w:rFonts w:asciiTheme="minorHAnsi" w:hAnsiTheme="minorHAnsi"/>
          <w:sz w:val="20"/>
          <w:szCs w:val="20"/>
        </w:rPr>
        <w:t>Semnatura</w:t>
      </w:r>
      <w:proofErr w:type="spellEnd"/>
      <w:r w:rsidRPr="004C172C">
        <w:rPr>
          <w:rFonts w:asciiTheme="minorHAnsi" w:hAnsiTheme="minorHAnsi"/>
          <w:sz w:val="20"/>
          <w:szCs w:val="20"/>
        </w:rPr>
        <w:t xml:space="preserve"> titular curs</w:t>
      </w:r>
      <w:r w:rsidRPr="004C172C">
        <w:rPr>
          <w:rFonts w:asciiTheme="minorHAnsi" w:hAnsiTheme="minorHAnsi"/>
          <w:sz w:val="20"/>
          <w:szCs w:val="20"/>
        </w:rPr>
        <w:tab/>
      </w:r>
      <w:r w:rsidRPr="004C172C">
        <w:rPr>
          <w:rFonts w:asciiTheme="minorHAnsi" w:hAnsiTheme="minorHAnsi"/>
          <w:sz w:val="20"/>
          <w:szCs w:val="20"/>
        </w:rPr>
        <w:tab/>
      </w:r>
      <w:proofErr w:type="spellStart"/>
      <w:r w:rsidRPr="004C172C">
        <w:rPr>
          <w:rFonts w:asciiTheme="minorHAnsi" w:hAnsiTheme="minorHAnsi"/>
          <w:sz w:val="20"/>
          <w:szCs w:val="20"/>
        </w:rPr>
        <w:t>Semnatura</w:t>
      </w:r>
      <w:proofErr w:type="spellEnd"/>
      <w:r w:rsidR="003A324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C172C">
        <w:rPr>
          <w:rFonts w:asciiTheme="minorHAnsi" w:hAnsiTheme="minorHAnsi"/>
          <w:sz w:val="20"/>
          <w:szCs w:val="20"/>
        </w:rPr>
        <w:t>titularului</w:t>
      </w:r>
      <w:proofErr w:type="spellEnd"/>
      <w:r w:rsidRPr="004C172C">
        <w:rPr>
          <w:rFonts w:asciiTheme="minorHAnsi" w:hAnsiTheme="minorHAnsi"/>
          <w:sz w:val="20"/>
          <w:szCs w:val="20"/>
        </w:rPr>
        <w:t xml:space="preserve"> de seminar</w:t>
      </w:r>
    </w:p>
    <w:p w:rsidR="00512881" w:rsidRPr="004C172C" w:rsidRDefault="003A3246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01.03.2019</w:t>
      </w:r>
    </w:p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bookmarkStart w:id="3" w:name="page4"/>
      <w:bookmarkEnd w:id="3"/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ind w:left="3340"/>
        <w:rPr>
          <w:rFonts w:asciiTheme="minorHAnsi" w:hAnsiTheme="minorHAnsi"/>
          <w:sz w:val="20"/>
          <w:szCs w:val="20"/>
        </w:rPr>
      </w:pPr>
      <w:bookmarkStart w:id="4" w:name="page5"/>
      <w:bookmarkEnd w:id="4"/>
      <w:r w:rsidRPr="004C172C">
        <w:rPr>
          <w:rFonts w:asciiTheme="minorHAnsi" w:hAnsiTheme="minorHAnsi" w:cs="Calibri"/>
          <w:b/>
          <w:bCs/>
          <w:sz w:val="20"/>
          <w:szCs w:val="20"/>
        </w:rPr>
        <w:t>ANEXĂ LA FIŞA DISCIPLINEI</w:t>
      </w: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b. </w:t>
      </w:r>
      <w:proofErr w:type="spellStart"/>
      <w:r w:rsidRPr="004C172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C172C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4C172C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12881" w:rsidRPr="004C172C" w:rsidTr="00147177">
        <w:trPr>
          <w:trHeight w:val="300"/>
        </w:trPr>
        <w:tc>
          <w:tcPr>
            <w:tcW w:w="2447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3"/>
        </w:trPr>
        <w:tc>
          <w:tcPr>
            <w:tcW w:w="2447" w:type="dxa"/>
            <w:vMerge w:val="restart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418" w:type="dxa"/>
            <w:vMerge w:val="restart"/>
          </w:tcPr>
          <w:p w:rsidR="00512881" w:rsidRPr="004C172C" w:rsidRDefault="00087138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087138" w:rsidRPr="004542CC" w:rsidRDefault="00087138" w:rsidP="00087138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realizat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individual</w:t>
            </w:r>
          </w:p>
          <w:p w:rsidR="00512881" w:rsidRPr="004C172C" w:rsidRDefault="00087138" w:rsidP="00087138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Prezentă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3A3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2398" w:type="dxa"/>
            <w:vMerge w:val="restart"/>
          </w:tcPr>
          <w:p w:rsidR="00512881" w:rsidRDefault="00087138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087138" w:rsidRPr="004C172C" w:rsidRDefault="00087138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3"/>
        </w:trPr>
        <w:tc>
          <w:tcPr>
            <w:tcW w:w="2447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70"/>
        </w:trPr>
        <w:tc>
          <w:tcPr>
            <w:tcW w:w="2447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3"/>
        </w:trPr>
        <w:tc>
          <w:tcPr>
            <w:tcW w:w="2447" w:type="dxa"/>
            <w:vMerge w:val="restart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 w:cs="Calibr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512881" w:rsidRPr="004C172C" w:rsidRDefault="00512881" w:rsidP="004C172C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89"/>
        </w:trPr>
        <w:tc>
          <w:tcPr>
            <w:tcW w:w="2447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172"/>
        </w:trPr>
        <w:tc>
          <w:tcPr>
            <w:tcW w:w="2447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3"/>
        </w:trPr>
        <w:tc>
          <w:tcPr>
            <w:tcW w:w="9680" w:type="dxa"/>
            <w:gridSpan w:val="5"/>
            <w:vAlign w:val="bottom"/>
          </w:tcPr>
          <w:p w:rsidR="00512881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  <w:p w:rsidR="00A65DC4" w:rsidRPr="004C172C" w:rsidRDefault="00A65DC4" w:rsidP="00A65D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6"/>
        </w:trPr>
        <w:tc>
          <w:tcPr>
            <w:tcW w:w="9680" w:type="dxa"/>
            <w:gridSpan w:val="5"/>
            <w:vAlign w:val="bottom"/>
          </w:tcPr>
          <w:p w:rsidR="00512881" w:rsidRPr="004C172C" w:rsidRDefault="003A3246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26"/>
        </w:trPr>
        <w:tc>
          <w:tcPr>
            <w:tcW w:w="2447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442"/>
        </w:trPr>
        <w:tc>
          <w:tcPr>
            <w:tcW w:w="2447" w:type="dxa"/>
            <w:vAlign w:val="bottom"/>
          </w:tcPr>
          <w:p w:rsidR="00512881" w:rsidRPr="004C172C" w:rsidRDefault="003A3246" w:rsidP="004C172C">
            <w:pPr>
              <w:widowControl w:val="0"/>
              <w:autoSpaceDE w:val="0"/>
              <w:autoSpaceDN w:val="0"/>
              <w:adjustRightInd w:val="0"/>
              <w:spacing w:after="0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01.03</w:t>
            </w:r>
            <w:r w:rsidR="00512881" w:rsidRPr="004C172C">
              <w:rPr>
                <w:rFonts w:asciiTheme="minorHAnsi" w:hAnsiTheme="minorHAnsi" w:cs="Calibri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4C172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C172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C172C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12881" w:rsidRPr="004C172C" w:rsidTr="00147177">
        <w:trPr>
          <w:trHeight w:val="303"/>
        </w:trPr>
        <w:tc>
          <w:tcPr>
            <w:tcW w:w="2445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1"/>
        </w:trPr>
        <w:tc>
          <w:tcPr>
            <w:tcW w:w="2445" w:type="dxa"/>
            <w:vMerge w:val="restart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512881" w:rsidRPr="004C172C" w:rsidRDefault="001A0562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512881" w:rsidRPr="004C172C" w:rsidRDefault="001A0562" w:rsidP="004C172C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Test 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scris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intrebari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2400" w:type="dxa"/>
            <w:vMerge w:val="restart"/>
          </w:tcPr>
          <w:p w:rsidR="00512881" w:rsidRPr="004C172C" w:rsidRDefault="001A0562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4"/>
        </w:trPr>
        <w:tc>
          <w:tcPr>
            <w:tcW w:w="2445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70"/>
        </w:trPr>
        <w:tc>
          <w:tcPr>
            <w:tcW w:w="2445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8"/>
        </w:trPr>
        <w:tc>
          <w:tcPr>
            <w:tcW w:w="2445" w:type="dxa"/>
            <w:vMerge w:val="restart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512881" w:rsidRPr="004C172C" w:rsidRDefault="00512881" w:rsidP="004C172C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84"/>
        </w:trPr>
        <w:tc>
          <w:tcPr>
            <w:tcW w:w="2445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172"/>
        </w:trPr>
        <w:tc>
          <w:tcPr>
            <w:tcW w:w="2445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3"/>
        </w:trPr>
        <w:tc>
          <w:tcPr>
            <w:tcW w:w="9685" w:type="dxa"/>
            <w:gridSpan w:val="5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  <w:r w:rsidR="00113C94"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proofErr w:type="spellStart"/>
            <w:r w:rsidR="00113C94">
              <w:rPr>
                <w:rFonts w:asciiTheme="minorHAnsi" w:hAnsiTheme="minorHAnsi" w:cs="Calibri"/>
                <w:sz w:val="20"/>
                <w:szCs w:val="20"/>
              </w:rPr>
              <w:t>prinbarem</w:t>
            </w:r>
            <w:proofErr w:type="spellEnd"/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66"/>
        </w:trPr>
        <w:tc>
          <w:tcPr>
            <w:tcW w:w="9685" w:type="dxa"/>
            <w:gridSpan w:val="5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228"/>
        </w:trPr>
        <w:tc>
          <w:tcPr>
            <w:tcW w:w="2445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3A32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C172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C172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881" w:rsidRPr="004C172C" w:rsidTr="00147177">
        <w:trPr>
          <w:trHeight w:val="599"/>
        </w:trPr>
        <w:tc>
          <w:tcPr>
            <w:tcW w:w="2445" w:type="dxa"/>
            <w:vAlign w:val="bottom"/>
          </w:tcPr>
          <w:p w:rsidR="00512881" w:rsidRPr="004C172C" w:rsidRDefault="003A3246" w:rsidP="004C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01.03</w:t>
            </w:r>
            <w:r w:rsidR="00512881" w:rsidRPr="004C172C">
              <w:rPr>
                <w:rFonts w:asciiTheme="minorHAnsi" w:hAnsiTheme="minorHAnsi" w:cs="Calibri"/>
                <w:w w:val="99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C172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12881" w:rsidRPr="004C172C" w:rsidRDefault="00512881" w:rsidP="004C1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81" w:rsidRPr="004C172C" w:rsidRDefault="00DB15B9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DB15B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512881" w:rsidRPr="004C172C" w:rsidRDefault="00512881" w:rsidP="004C172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707FEE" w:rsidRPr="004C172C" w:rsidRDefault="00707FEE" w:rsidP="004C172C">
      <w:pPr>
        <w:rPr>
          <w:rFonts w:asciiTheme="minorHAnsi" w:hAnsiTheme="minorHAnsi"/>
          <w:sz w:val="20"/>
          <w:szCs w:val="20"/>
        </w:rPr>
      </w:pPr>
    </w:p>
    <w:sectPr w:rsidR="00707FEE" w:rsidRPr="004C172C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762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05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P705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R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RNew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39D"/>
    <w:multiLevelType w:val="hybridMultilevel"/>
    <w:tmpl w:val="D474E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1BF1"/>
    <w:multiLevelType w:val="multilevel"/>
    <w:tmpl w:val="B51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5898"/>
    <w:multiLevelType w:val="multilevel"/>
    <w:tmpl w:val="0102275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ED280E"/>
    <w:multiLevelType w:val="hybridMultilevel"/>
    <w:tmpl w:val="320A28D6"/>
    <w:lvl w:ilvl="0" w:tplc="5A329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7537D"/>
    <w:multiLevelType w:val="hybridMultilevel"/>
    <w:tmpl w:val="3966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53C3A"/>
    <w:multiLevelType w:val="hybridMultilevel"/>
    <w:tmpl w:val="07B063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12881"/>
    <w:rsid w:val="00036A8B"/>
    <w:rsid w:val="00057AFE"/>
    <w:rsid w:val="00087138"/>
    <w:rsid w:val="00113C94"/>
    <w:rsid w:val="001A0562"/>
    <w:rsid w:val="00215B41"/>
    <w:rsid w:val="00307E48"/>
    <w:rsid w:val="003A3246"/>
    <w:rsid w:val="00421AF9"/>
    <w:rsid w:val="004C172C"/>
    <w:rsid w:val="004C6F3A"/>
    <w:rsid w:val="00512881"/>
    <w:rsid w:val="00707FEE"/>
    <w:rsid w:val="00A57FF8"/>
    <w:rsid w:val="00A65DC4"/>
    <w:rsid w:val="00AC0A6B"/>
    <w:rsid w:val="00AC3EA0"/>
    <w:rsid w:val="00AF62CB"/>
    <w:rsid w:val="00B56FB5"/>
    <w:rsid w:val="00BD3A18"/>
    <w:rsid w:val="00C53906"/>
    <w:rsid w:val="00C8087F"/>
    <w:rsid w:val="00D05D04"/>
    <w:rsid w:val="00D70DCC"/>
    <w:rsid w:val="00DB15B9"/>
    <w:rsid w:val="00DC4E6F"/>
    <w:rsid w:val="00E64D97"/>
    <w:rsid w:val="00F62AB7"/>
    <w:rsid w:val="00F8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8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8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12881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uiPriority w:val="99"/>
    <w:rsid w:val="00036A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A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3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8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8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12881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uiPriority w:val="99"/>
    <w:rsid w:val="00036A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A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36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s.uni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19</cp:revision>
  <dcterms:created xsi:type="dcterms:W3CDTF">2019-02-28T11:07:00Z</dcterms:created>
  <dcterms:modified xsi:type="dcterms:W3CDTF">2019-03-04T22:47:00Z</dcterms:modified>
</cp:coreProperties>
</file>